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color w:val="424242"/>
          <w:sz w:val="72"/>
          <w:szCs w:val="72"/>
          <w:rtl w:val="0"/>
        </w:rPr>
        <w:t xml:space="preserve">OVERWATCH 2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rPr/>
      </w:pPr>
      <w:r w:rsidDel="00000000" w:rsidR="00000000" w:rsidRPr="00000000">
        <w:rPr>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1"/>
        </w:numPr>
        <w:spacing w:before="200" w:lineRule="auto"/>
        <w:ind w:left="720" w:hanging="360"/>
        <w:rPr>
          <w:rFonts w:ascii="Titillium Web" w:cs="Titillium Web" w:eastAsia="Titillium Web" w:hAnsi="Titillium Web"/>
          <w:color w:val="333333"/>
        </w:rPr>
      </w:pPr>
      <w:hyperlink w:anchor="_2lqaxtlmo67a">
        <w:r w:rsidDel="00000000" w:rsidR="00000000" w:rsidRPr="00000000">
          <w:rPr>
            <w:rFonts w:ascii="Titillium Web" w:cs="Titillium Web" w:eastAsia="Titillium Web" w:hAnsi="Titillium Web"/>
            <w:color w:val="333333"/>
            <w:u w:val="single"/>
            <w:rtl w:val="0"/>
          </w:rPr>
          <w:t xml:space="preserve">Individual Eligibility and Team Rules</w:t>
        </w:r>
      </w:hyperlink>
      <w:r w:rsidDel="00000000" w:rsidR="00000000" w:rsidRPr="00000000">
        <w:rPr>
          <w:rFonts w:ascii="Titillium Web" w:cs="Titillium Web" w:eastAsia="Titillium Web" w:hAnsi="Titillium Web"/>
          <w:color w:val="333333"/>
          <w:u w:val="single"/>
          <w:rtl w:val="0"/>
        </w:rPr>
        <w:t xml:space="preserve">  </w:t>
      </w:r>
    </w:p>
    <w:p w:rsidR="00000000" w:rsidDel="00000000" w:rsidP="00000000" w:rsidRDefault="00000000" w:rsidRPr="00000000" w14:paraId="0000000A">
      <w:pPr>
        <w:pageBreakBefore w:val="0"/>
        <w:numPr>
          <w:ilvl w:val="0"/>
          <w:numId w:val="1"/>
        </w:numPr>
        <w:spacing w:before="200" w:lineRule="auto"/>
        <w:ind w:left="720" w:hanging="360"/>
        <w:rPr>
          <w:rFonts w:ascii="Titillium Web" w:cs="Titillium Web" w:eastAsia="Titillium Web" w:hAnsi="Titillium Web"/>
          <w:color w:val="333333"/>
        </w:rPr>
      </w:pPr>
      <w:hyperlink w:anchor="_a7jpvh9zvklh">
        <w:r w:rsidDel="00000000" w:rsidR="00000000" w:rsidRPr="00000000">
          <w:rPr>
            <w:rFonts w:ascii="Titillium Web" w:cs="Titillium Web" w:eastAsia="Titillium Web" w:hAnsi="Titillium Web"/>
            <w:color w:val="333333"/>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spacing w:before="200" w:lineRule="auto"/>
        <w:ind w:left="720" w:hanging="360"/>
        <w:rPr>
          <w:rFonts w:ascii="Titillium Web" w:cs="Titillium Web" w:eastAsia="Titillium Web" w:hAnsi="Titillium Web"/>
          <w:color w:val="333333"/>
        </w:rPr>
      </w:pPr>
      <w:hyperlink w:anchor="_8oqy1zx6bpcg">
        <w:r w:rsidDel="00000000" w:rsidR="00000000" w:rsidRPr="00000000">
          <w:rPr>
            <w:rFonts w:ascii="Titillium Web" w:cs="Titillium Web" w:eastAsia="Titillium Web" w:hAnsi="Titillium Web"/>
            <w:color w:val="333333"/>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1"/>
        </w:numPr>
        <w:spacing w:before="200" w:lineRule="auto"/>
        <w:ind w:left="720" w:hanging="360"/>
        <w:rPr>
          <w:rFonts w:ascii="Titillium Web" w:cs="Titillium Web" w:eastAsia="Titillium Web" w:hAnsi="Titillium Web"/>
          <w:color w:val="333333"/>
        </w:rPr>
      </w:pPr>
      <w:hyperlink w:anchor="_29kha1hgsgh1">
        <w:r w:rsidDel="00000000" w:rsidR="00000000" w:rsidRPr="00000000">
          <w:rPr>
            <w:rFonts w:ascii="Titillium Web" w:cs="Titillium Web" w:eastAsia="Titillium Web" w:hAnsi="Titillium Web"/>
            <w:color w:val="333333"/>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spacing w:before="200" w:lineRule="auto"/>
        <w:ind w:left="720" w:hanging="360"/>
        <w:rPr>
          <w:rFonts w:ascii="Titillium Web" w:cs="Titillium Web" w:eastAsia="Titillium Web" w:hAnsi="Titillium Web"/>
          <w:color w:val="333333"/>
        </w:rPr>
      </w:pPr>
      <w:hyperlink w:anchor="_qagbw54fm2t">
        <w:r w:rsidDel="00000000" w:rsidR="00000000" w:rsidRPr="00000000">
          <w:rPr>
            <w:rFonts w:ascii="Titillium Web" w:cs="Titillium Web" w:eastAsia="Titillium Web" w:hAnsi="Titillium Web"/>
            <w:color w:val="333333"/>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1"/>
        </w:numPr>
        <w:spacing w:before="200" w:lineRule="auto"/>
        <w:ind w:left="720" w:hanging="360"/>
        <w:rPr>
          <w:rFonts w:ascii="Titillium Web" w:cs="Titillium Web" w:eastAsia="Titillium Web" w:hAnsi="Titillium Web"/>
          <w:color w:val="333333"/>
        </w:rPr>
      </w:pPr>
      <w:hyperlink w:anchor="_74q7v5up9w7c">
        <w:r w:rsidDel="00000000" w:rsidR="00000000" w:rsidRPr="00000000">
          <w:rPr>
            <w:rFonts w:ascii="Titillium Web" w:cs="Titillium Web" w:eastAsia="Titillium Web" w:hAnsi="Titillium Web"/>
            <w:color w:val="333333"/>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1"/>
        </w:numPr>
        <w:spacing w:before="200" w:lineRule="auto"/>
        <w:ind w:left="720" w:hanging="360"/>
        <w:rPr>
          <w:rFonts w:ascii="Titillium Web" w:cs="Titillium Web" w:eastAsia="Titillium Web" w:hAnsi="Titillium Web"/>
          <w:color w:val="333333"/>
        </w:rPr>
      </w:pPr>
      <w:hyperlink w:anchor="_2o4hreedlpv9">
        <w:r w:rsidDel="00000000" w:rsidR="00000000" w:rsidRPr="00000000">
          <w:rPr>
            <w:rFonts w:ascii="Titillium Web" w:cs="Titillium Web" w:eastAsia="Titillium Web" w:hAnsi="Titillium Web"/>
            <w:color w:val="333333"/>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5"/>
        </w:numPr>
        <w:spacing w:after="0" w:afterAutospacing="0"/>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5"/>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ik1k3glk1dyc"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3"/>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highlight w:val="white"/>
          <w:rtl w:val="0"/>
        </w:rPr>
        <w:t xml:space="preserve">composed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ab/>
        <w:tab/>
        <w:t xml:space="preserve">Full list of playing entities can be found in Appendix B</w:t>
      </w:r>
      <w:r w:rsidDel="00000000" w:rsidR="00000000" w:rsidRPr="00000000">
        <w:rPr>
          <w:rtl w:val="0"/>
        </w:rPr>
      </w:r>
    </w:p>
    <w:p w:rsidR="00000000" w:rsidDel="00000000" w:rsidP="00000000" w:rsidRDefault="00000000" w:rsidRPr="00000000" w14:paraId="0000001B">
      <w:pPr>
        <w:pStyle w:val="Heading2"/>
        <w:pageBreakBefore w:val="0"/>
        <w:numPr>
          <w:ilvl w:val="1"/>
          <w:numId w:val="3"/>
        </w:numPr>
        <w:spacing w:after="0" w:afterAutospacing="0"/>
        <w:ind w:left="1440" w:hanging="360"/>
        <w:rPr/>
      </w:pPr>
      <w:bookmarkStart w:colFirst="0" w:colLast="0" w:name="_510hv887jk3"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1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3">
      <w:pPr>
        <w:numPr>
          <w:ilvl w:val="3"/>
          <w:numId w:val="4"/>
        </w:numPr>
        <w:spacing w:after="0" w:afterAutospacing="0" w:before="0" w:beforeAutospacing="0"/>
        <w:ind w:left="2880" w:hanging="360"/>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Battlenet account with a copy of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associated to their </w:t>
      </w:r>
      <w:hyperlink r:id="rId10">
        <w:r w:rsidDel="00000000" w:rsidR="00000000" w:rsidRPr="00000000">
          <w:rPr>
            <w:rFonts w:ascii="Titillium Web" w:cs="Titillium Web" w:eastAsia="Titillium Web" w:hAnsi="Titillium Web"/>
            <w:color w:val="1155cc"/>
            <w:u w:val="single"/>
            <w:rtl w:val="0"/>
          </w:rPr>
          <w:t xml:space="preserve">www.nse.gg</w:t>
        </w:r>
      </w:hyperlink>
      <w:r w:rsidDel="00000000" w:rsidR="00000000" w:rsidRPr="00000000">
        <w:rPr>
          <w:rFonts w:ascii="Titillium Web" w:cs="Titillium Web" w:eastAsia="Titillium Web" w:hAnsi="Titillium Web"/>
          <w:rtl w:val="0"/>
        </w:rPr>
        <w:t xml:space="preserve"> account</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Battlenet </w:t>
      </w:r>
      <w:r w:rsidDel="00000000" w:rsidR="00000000" w:rsidRPr="00000000">
        <w:rPr>
          <w:rFonts w:ascii="Titillium Web" w:cs="Titillium Web" w:eastAsia="Titillium Web" w:hAnsi="Titillium Web"/>
          <w:rtl w:val="0"/>
        </w:rPr>
        <w:t xml:space="preserve">igns</w:t>
      </w:r>
      <w:r w:rsidDel="00000000" w:rsidR="00000000" w:rsidRPr="00000000">
        <w:rPr>
          <w:rFonts w:ascii="Titillium Web" w:cs="Titillium Web" w:eastAsia="Titillium Web" w:hAnsi="Titillium Web"/>
          <w:rtl w:val="0"/>
        </w:rPr>
        <w:t xml:space="preserve"> are not allowed. Whether an account name is considered offensive is at the sole discretion of the NSE Admin Team.</w:t>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Battletags may not con</w:t>
      </w:r>
      <w:r w:rsidDel="00000000" w:rsidR="00000000" w:rsidRPr="00000000">
        <w:rPr>
          <w:rFonts w:ascii="Titillium Web" w:cs="Titillium Web" w:eastAsia="Titillium Web" w:hAnsi="Titillium Web"/>
          <w:rtl w:val="0"/>
        </w:rPr>
        <w:t xml:space="preserve">tain sponsor or organisation names that are considered inappropriate by NSE</w:t>
      </w:r>
      <w:r w:rsidDel="00000000" w:rsidR="00000000" w:rsidRPr="00000000">
        <w:rPr>
          <w:rFonts w:ascii="Titillium Web" w:cs="Titillium Web" w:eastAsia="Titillium Web" w:hAnsi="Titillium Web"/>
          <w:rtl w:val="0"/>
        </w:rPr>
        <w:t xml:space="preserv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8">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3"/>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Students who work with NSE in some other capacity e.g. casters or Admin team for non-</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games may still compete.</w:t>
      </w:r>
    </w:p>
    <w:p w:rsidR="00000000" w:rsidDel="00000000" w:rsidP="00000000" w:rsidRDefault="00000000" w:rsidRPr="00000000" w14:paraId="0000002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full-time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0">
      <w:pPr>
        <w:pStyle w:val="Heading2"/>
        <w:pageBreakBefore w:val="0"/>
        <w:numPr>
          <w:ilvl w:val="1"/>
          <w:numId w:val="3"/>
        </w:numPr>
        <w:spacing w:after="0" w:afterAutospacing="0" w:before="0" w:beforeAutospacing="0"/>
        <w:ind w:left="1440" w:hanging="360"/>
        <w:rPr/>
      </w:pPr>
      <w:bookmarkStart w:colFirst="0" w:colLast="0" w:name="_svxyxlyb0ljz"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w:t>
      </w:r>
      <w:r w:rsidDel="00000000" w:rsidR="00000000" w:rsidRPr="00000000">
        <w:rPr>
          <w:rtl w:val="0"/>
        </w:rPr>
        <w:t xml:space="preserve">5</w:t>
      </w:r>
      <w:r w:rsidDel="00000000" w:rsidR="00000000" w:rsidRPr="00000000">
        <w:rPr>
          <w:rFonts w:ascii="Titillium Web" w:cs="Titillium Web" w:eastAsia="Titillium Web" w:hAnsi="Titillium Web"/>
          <w:rtl w:val="0"/>
        </w:rPr>
        <w:t xml:space="preserve"> students. </w:t>
      </w:r>
    </w:p>
    <w:p w:rsidR="00000000" w:rsidDel="00000000" w:rsidP="00000000" w:rsidRDefault="00000000" w:rsidRPr="00000000" w14:paraId="0000003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p>
    <w:p w:rsidR="00000000" w:rsidDel="00000000" w:rsidP="00000000" w:rsidRDefault="00000000" w:rsidRPr="00000000" w14:paraId="0000003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9">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time if it does not cause a delay to games starting.</w:t>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seeding,qualification spots or points earnt. If there is no new majority team no team inherits seeding,qualification spots or points earnt.</w:t>
      </w:r>
    </w:p>
    <w:p w:rsidR="00000000" w:rsidDel="00000000" w:rsidP="00000000" w:rsidRDefault="00000000" w:rsidRPr="00000000" w14:paraId="0000003D">
      <w:pPr>
        <w:pStyle w:val="Heading2"/>
        <w:pageBreakBefore w:val="0"/>
        <w:numPr>
          <w:ilvl w:val="1"/>
          <w:numId w:val="3"/>
        </w:numPr>
        <w:spacing w:after="0" w:afterAutospacing="0" w:before="0" w:beforeAutospacing="0"/>
        <w:ind w:left="1440" w:hanging="360"/>
        <w:rPr/>
      </w:pPr>
      <w:bookmarkStart w:colFirst="0" w:colLast="0" w:name="_26wumq2cnc75"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check-in is required the deadline will be at 6:30pm on match day.</w:t>
      </w:r>
    </w:p>
    <w:p w:rsidR="00000000" w:rsidDel="00000000" w:rsidP="00000000" w:rsidRDefault="00000000" w:rsidRPr="00000000" w14:paraId="0000003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p>
    <w:p w:rsidR="00000000" w:rsidDel="00000000" w:rsidP="00000000" w:rsidRDefault="00000000" w:rsidRPr="00000000" w14:paraId="00000040">
      <w:pPr>
        <w:pStyle w:val="Heading1"/>
        <w:pageBreakBefore w:val="0"/>
        <w:numPr>
          <w:ilvl w:val="0"/>
          <w:numId w:val="3"/>
        </w:numPr>
        <w:spacing w:after="0" w:afterAutospacing="0" w:before="0" w:beforeAutospacing="0"/>
        <w:ind w:left="720" w:hanging="360"/>
        <w:rPr/>
      </w:pPr>
      <w:bookmarkStart w:colFirst="0" w:colLast="0" w:name="_a7jpvh9zvklh" w:id="9"/>
      <w:bookmarkEnd w:id="9"/>
      <w:r w:rsidDel="00000000" w:rsidR="00000000" w:rsidRPr="00000000">
        <w:rPr>
          <w:rtl w:val="0"/>
        </w:rPr>
        <w:t xml:space="preserve">Match Rules </w:t>
      </w:r>
    </w:p>
    <w:p w:rsidR="00000000" w:rsidDel="00000000" w:rsidP="00000000" w:rsidRDefault="00000000" w:rsidRPr="00000000" w14:paraId="00000041">
      <w:pPr>
        <w:pStyle w:val="Heading2"/>
        <w:pageBreakBefore w:val="0"/>
        <w:numPr>
          <w:ilvl w:val="1"/>
          <w:numId w:val="3"/>
        </w:numPr>
        <w:spacing w:before="0" w:beforeAutospacing="0"/>
        <w:ind w:left="1440" w:hanging="360"/>
        <w:rPr/>
      </w:pPr>
      <w:bookmarkStart w:colFirst="0" w:colLast="0" w:name="_crg4jn41i9vo" w:id="10"/>
      <w:bookmarkEnd w:id="10"/>
      <w:r w:rsidDel="00000000" w:rsidR="00000000" w:rsidRPr="00000000">
        <w:rPr>
          <w:rtl w:val="0"/>
        </w:rPr>
        <w:t xml:space="preserve">Lobby Settings</w:t>
      </w:r>
    </w:p>
    <w:p w:rsidR="00000000" w:rsidDel="00000000" w:rsidP="00000000" w:rsidRDefault="00000000" w:rsidRPr="00000000" w14:paraId="00000042">
      <w:pPr>
        <w:pageBreakBefore w:val="0"/>
        <w:ind w:left="144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rtl w:val="0"/>
        </w:rPr>
        <w:t xml:space="preserve">Game lobbies must be set up by a player. A player from either team may </w:t>
      </w:r>
      <w:r w:rsidDel="00000000" w:rsidR="00000000" w:rsidRPr="00000000">
        <w:rPr>
          <w:rtl w:val="0"/>
        </w:rPr>
        <w:t xml:space="preserve">set up</w:t>
      </w:r>
      <w:r w:rsidDel="00000000" w:rsidR="00000000" w:rsidRPr="00000000">
        <w:rPr>
          <w:rFonts w:ascii="Titillium Web" w:cs="Titillium Web" w:eastAsia="Titillium Web" w:hAnsi="Titillium Web"/>
          <w:rtl w:val="0"/>
        </w:rPr>
        <w:t xml:space="preserve"> a game lobby. Games should be setup using default settings with the following changes</w:t>
      </w:r>
      <w:r w:rsidDel="00000000" w:rsidR="00000000" w:rsidRPr="00000000">
        <w:rPr>
          <w:rFonts w:ascii="Titillium Web" w:cs="Titillium Web" w:eastAsia="Titillium Web" w:hAnsi="Titillium Web"/>
          <w:color w:val="333333"/>
          <w:rtl w:val="0"/>
        </w:rPr>
        <w:t xml:space="preserve">:</w:t>
      </w:r>
    </w:p>
    <w:p w:rsidR="00000000" w:rsidDel="00000000" w:rsidP="00000000" w:rsidRDefault="00000000" w:rsidRPr="00000000" w14:paraId="00000043">
      <w:pPr>
        <w:pageBreakBefore w:val="0"/>
        <w:ind w:left="216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color w:val="333333"/>
          <w:rtl w:val="0"/>
        </w:rPr>
        <w:t xml:space="preserve">Competitive rules: ON</w:t>
      </w:r>
    </w:p>
    <w:p w:rsidR="00000000" w:rsidDel="00000000" w:rsidP="00000000" w:rsidRDefault="00000000" w:rsidRPr="00000000" w14:paraId="00000044">
      <w:pPr>
        <w:pageBreakBefore w:val="0"/>
        <w:spacing w:before="0" w:lineRule="auto"/>
        <w:ind w:left="216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color w:val="333333"/>
          <w:rtl w:val="0"/>
        </w:rPr>
        <w:t xml:space="preserve">Kill Cam: OFF</w:t>
      </w:r>
    </w:p>
    <w:p w:rsidR="00000000" w:rsidDel="00000000" w:rsidP="00000000" w:rsidRDefault="00000000" w:rsidRPr="00000000" w14:paraId="00000045">
      <w:pPr>
        <w:pageBreakBefore w:val="0"/>
        <w:spacing w:before="0" w:lineRule="auto"/>
        <w:ind w:left="216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color w:val="333333"/>
          <w:rtl w:val="0"/>
        </w:rPr>
        <w:t xml:space="preserve">Skins: Disabled</w:t>
      </w:r>
    </w:p>
    <w:p w:rsidR="00000000" w:rsidDel="00000000" w:rsidP="00000000" w:rsidRDefault="00000000" w:rsidRPr="00000000" w14:paraId="00000046">
      <w:pPr>
        <w:pageBreakBefore w:val="0"/>
        <w:ind w:left="144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color w:val="333333"/>
          <w:rtl w:val="0"/>
        </w:rPr>
        <w:t xml:space="preserve">It is the responsibility of both teams to check the settings of the game are set correctly before starting. If a game is started with the wrong setting the game should be paused and an admin contacted.</w:t>
      </w:r>
    </w:p>
    <w:p w:rsidR="00000000" w:rsidDel="00000000" w:rsidP="00000000" w:rsidRDefault="00000000" w:rsidRPr="00000000" w14:paraId="00000047">
      <w:pPr>
        <w:pStyle w:val="Heading2"/>
        <w:pageBreakBefore w:val="0"/>
        <w:numPr>
          <w:ilvl w:val="1"/>
          <w:numId w:val="3"/>
        </w:numPr>
        <w:spacing w:after="0" w:afterAutospacing="0"/>
        <w:ind w:left="1440" w:hanging="360"/>
        <w:rPr/>
      </w:pPr>
      <w:bookmarkStart w:colFirst="0" w:colLast="0" w:name="_un3qih2lttkx" w:id="11"/>
      <w:bookmarkEnd w:id="11"/>
      <w:r w:rsidDel="00000000" w:rsidR="00000000" w:rsidRPr="00000000">
        <w:rPr>
          <w:rtl w:val="0"/>
        </w:rPr>
        <w:t xml:space="preserve">Map Selection</w:t>
      </w:r>
    </w:p>
    <w:p w:rsidR="00000000" w:rsidDel="00000000" w:rsidP="00000000" w:rsidRDefault="00000000" w:rsidRPr="00000000" w14:paraId="00000048">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tl w:val="0"/>
        </w:rPr>
        <w:t xml:space="preserve">All Maps must be chosen from the following map Pool</w:t>
      </w:r>
      <w:r w:rsidDel="00000000" w:rsidR="00000000" w:rsidRPr="00000000">
        <w:rPr>
          <w:rFonts w:ascii="Titillium Web" w:cs="Titillium Web" w:eastAsia="Titillium Web" w:hAnsi="Titillium Web"/>
          <w:rtl w:val="0"/>
        </w:rPr>
        <w:t xml:space="preserve">. </w:t>
      </w:r>
      <w:r w:rsidDel="00000000" w:rsidR="00000000" w:rsidRPr="00000000">
        <w:rPr>
          <w:rtl w:val="0"/>
        </w:rPr>
      </w:r>
    </w:p>
    <w:p w:rsidR="00000000" w:rsidDel="00000000" w:rsidP="00000000" w:rsidRDefault="00000000" w:rsidRPr="00000000" w14:paraId="00000049">
      <w:pPr>
        <w:spacing w:before="0" w:lineRule="auto"/>
        <w:ind w:left="2160" w:firstLine="0"/>
        <w:rPr/>
      </w:pPr>
      <w:r w:rsidDel="00000000" w:rsidR="00000000" w:rsidRPr="00000000">
        <w:rPr>
          <w:rtl w:val="0"/>
        </w:rPr>
        <w:t xml:space="preserve">Control: Antarctic Peninsula, Busan, Nepal, Samoa</w:t>
      </w:r>
    </w:p>
    <w:p w:rsidR="00000000" w:rsidDel="00000000" w:rsidP="00000000" w:rsidRDefault="00000000" w:rsidRPr="00000000" w14:paraId="0000004A">
      <w:pPr>
        <w:spacing w:before="0" w:lineRule="auto"/>
        <w:ind w:left="2160" w:firstLine="0"/>
        <w:rPr/>
      </w:pPr>
      <w:r w:rsidDel="00000000" w:rsidR="00000000" w:rsidRPr="00000000">
        <w:rPr>
          <w:rtl w:val="0"/>
        </w:rPr>
        <w:t xml:space="preserve">Hybrid: Blizzard World, Hollywood, ​King's Row, Midtown</w:t>
      </w:r>
    </w:p>
    <w:p w:rsidR="00000000" w:rsidDel="00000000" w:rsidP="00000000" w:rsidRDefault="00000000" w:rsidRPr="00000000" w14:paraId="0000004B">
      <w:pPr>
        <w:spacing w:before="0" w:lineRule="auto"/>
        <w:ind w:left="2160" w:firstLine="0"/>
        <w:rPr/>
      </w:pPr>
      <w:r w:rsidDel="00000000" w:rsidR="00000000" w:rsidRPr="00000000">
        <w:rPr>
          <w:rtl w:val="0"/>
        </w:rPr>
        <w:t xml:space="preserve">Flashpoint: New Junk City, Suravasa</w:t>
      </w:r>
    </w:p>
    <w:p w:rsidR="00000000" w:rsidDel="00000000" w:rsidP="00000000" w:rsidRDefault="00000000" w:rsidRPr="00000000" w14:paraId="0000004C">
      <w:pPr>
        <w:spacing w:before="0" w:lineRule="auto"/>
        <w:ind w:left="2160" w:firstLine="0"/>
        <w:rPr/>
      </w:pPr>
      <w:r w:rsidDel="00000000" w:rsidR="00000000" w:rsidRPr="00000000">
        <w:rPr>
          <w:rtl w:val="0"/>
        </w:rPr>
        <w:t xml:space="preserve">Escort:  Dorado, Shambali Monastery, Route 66, Watch Point Gibraltar</w:t>
      </w:r>
    </w:p>
    <w:p w:rsidR="00000000" w:rsidDel="00000000" w:rsidP="00000000" w:rsidRDefault="00000000" w:rsidRPr="00000000" w14:paraId="0000004D">
      <w:pPr>
        <w:spacing w:before="0" w:lineRule="auto"/>
        <w:ind w:left="2160" w:firstLine="0"/>
        <w:rPr/>
      </w:pPr>
      <w:r w:rsidDel="00000000" w:rsidR="00000000" w:rsidRPr="00000000">
        <w:rPr>
          <w:rtl w:val="0"/>
        </w:rPr>
        <w:t xml:space="preserve">Push: Colosseo, Esperança, New Queen Street​</w:t>
      </w:r>
    </w:p>
    <w:p w:rsidR="00000000" w:rsidDel="00000000" w:rsidP="00000000" w:rsidRDefault="00000000" w:rsidRPr="00000000" w14:paraId="0000004E">
      <w:pPr>
        <w:pageBreakBefore w:val="0"/>
        <w:spacing w:before="0" w:lineRule="auto"/>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br w:type="textWrapping"/>
      </w:r>
    </w:p>
    <w:p w:rsidR="00000000" w:rsidDel="00000000" w:rsidP="00000000" w:rsidRDefault="00000000" w:rsidRPr="00000000" w14:paraId="0000004F">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5 maps, game modes will be played in the following order with higher seed choosing the map in the first game and lower seed choosing the starting side. In subsequent games, the loser of the previous map chooses the next map and the winning team chooses the side.</w:t>
      </w:r>
    </w:p>
    <w:p w:rsidR="00000000" w:rsidDel="00000000" w:rsidP="00000000" w:rsidRDefault="00000000" w:rsidRPr="00000000" w14:paraId="00000050">
      <w:pPr>
        <w:pageBreakBefore w:val="0"/>
        <w:spacing w:after="0" w:before="0" w:lineRule="auto"/>
        <w:ind w:left="2160" w:firstLine="0"/>
        <w:rPr/>
      </w:pPr>
      <w:r w:rsidDel="00000000" w:rsidR="00000000" w:rsidRPr="00000000">
        <w:rPr>
          <w:rtl w:val="0"/>
        </w:rPr>
        <w:t xml:space="preserve">Control</w:t>
      </w:r>
    </w:p>
    <w:p w:rsidR="00000000" w:rsidDel="00000000" w:rsidP="00000000" w:rsidRDefault="00000000" w:rsidRPr="00000000" w14:paraId="00000051">
      <w:pPr>
        <w:pageBreakBefore w:val="0"/>
        <w:spacing w:after="0" w:before="0" w:lineRule="auto"/>
        <w:ind w:left="2160" w:firstLine="0"/>
        <w:rPr/>
      </w:pPr>
      <w:r w:rsidDel="00000000" w:rsidR="00000000" w:rsidRPr="00000000">
        <w:rPr>
          <w:rtl w:val="0"/>
        </w:rPr>
        <w:t xml:space="preserve">Hybrid</w:t>
      </w:r>
    </w:p>
    <w:p w:rsidR="00000000" w:rsidDel="00000000" w:rsidP="00000000" w:rsidRDefault="00000000" w:rsidRPr="00000000" w14:paraId="00000052">
      <w:pPr>
        <w:pageBreakBefore w:val="0"/>
        <w:spacing w:after="0" w:before="0" w:lineRule="auto"/>
        <w:ind w:left="2160" w:firstLine="0"/>
        <w:rPr/>
      </w:pPr>
      <w:r w:rsidDel="00000000" w:rsidR="00000000" w:rsidRPr="00000000">
        <w:rPr>
          <w:rtl w:val="0"/>
        </w:rPr>
        <w:t xml:space="preserve">Flashpoint</w:t>
      </w:r>
    </w:p>
    <w:p w:rsidR="00000000" w:rsidDel="00000000" w:rsidP="00000000" w:rsidRDefault="00000000" w:rsidRPr="00000000" w14:paraId="00000053">
      <w:pPr>
        <w:pageBreakBefore w:val="0"/>
        <w:spacing w:after="0" w:before="0" w:lineRule="auto"/>
        <w:ind w:left="2160" w:firstLine="0"/>
        <w:rPr/>
      </w:pPr>
      <w:r w:rsidDel="00000000" w:rsidR="00000000" w:rsidRPr="00000000">
        <w:rPr>
          <w:rtl w:val="0"/>
        </w:rPr>
        <w:t xml:space="preserve">Push</w:t>
      </w:r>
    </w:p>
    <w:p w:rsidR="00000000" w:rsidDel="00000000" w:rsidP="00000000" w:rsidRDefault="00000000" w:rsidRPr="00000000" w14:paraId="00000054">
      <w:pPr>
        <w:pageBreakBefore w:val="0"/>
        <w:spacing w:after="0" w:before="0" w:lineRule="auto"/>
        <w:ind w:left="2160" w:firstLine="0"/>
        <w:rPr/>
      </w:pPr>
      <w:r w:rsidDel="00000000" w:rsidR="00000000" w:rsidRPr="00000000">
        <w:rPr>
          <w:rtl w:val="0"/>
        </w:rPr>
        <w:t xml:space="preserve">Escort</w:t>
      </w:r>
    </w:p>
    <w:p w:rsidR="00000000" w:rsidDel="00000000" w:rsidP="00000000" w:rsidRDefault="00000000" w:rsidRPr="00000000" w14:paraId="0000005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the match is tied after 5 games, </w:t>
      </w:r>
      <w:r w:rsidDel="00000000" w:rsidR="00000000" w:rsidRPr="00000000">
        <w:rPr>
          <w:rtl w:val="0"/>
        </w:rPr>
        <w:t xml:space="preserve">a </w:t>
      </w:r>
      <w:r w:rsidDel="00000000" w:rsidR="00000000" w:rsidRPr="00000000">
        <w:rPr>
          <w:rFonts w:ascii="Titillium Web" w:cs="Titillium Web" w:eastAsia="Titillium Web" w:hAnsi="Titillium Web"/>
          <w:rtl w:val="0"/>
        </w:rPr>
        <w:t xml:space="preserve">remaining unplayed control map is to be played.</w:t>
      </w:r>
    </w:p>
    <w:p w:rsidR="00000000" w:rsidDel="00000000" w:rsidP="00000000" w:rsidRDefault="00000000" w:rsidRPr="00000000" w14:paraId="00000056">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3 maps game modes and order played will be decided in advance by the NSE admin team and will change each week. For specific weeks game modes and order can be found in Appendix A. For the first game the higher seed chooses the map in the first game and the lower seed chooses the starting side. In subsequent games, the loser of the previous map chooses the next map and the winning team chooses the side.</w:t>
      </w:r>
    </w:p>
    <w:p w:rsidR="00000000" w:rsidDel="00000000" w:rsidP="00000000" w:rsidRDefault="00000000" w:rsidRPr="00000000" w14:paraId="00000057">
      <w:pPr>
        <w:pageBreakBefore w:val="0"/>
        <w:numPr>
          <w:ilvl w:val="3"/>
          <w:numId w:val="3"/>
        </w:numPr>
        <w:ind w:left="288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In the event the best of 3 matches is tied after 3 maps, an additional control map is to be played. </w:t>
      </w:r>
    </w:p>
    <w:p w:rsidR="00000000" w:rsidDel="00000000" w:rsidP="00000000" w:rsidRDefault="00000000" w:rsidRPr="00000000" w14:paraId="00000058">
      <w:pPr>
        <w:pageBreakBefore w:val="0"/>
        <w:numPr>
          <w:ilvl w:val="4"/>
          <w:numId w:val="3"/>
        </w:numPr>
        <w:ind w:left="360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a control map has already been played during the series the remaining control map is to be played.</w:t>
      </w:r>
    </w:p>
    <w:p w:rsidR="00000000" w:rsidDel="00000000" w:rsidP="00000000" w:rsidRDefault="00000000" w:rsidRPr="00000000" w14:paraId="00000059">
      <w:pPr>
        <w:pageBreakBefore w:val="0"/>
        <w:numPr>
          <w:ilvl w:val="4"/>
          <w:numId w:val="3"/>
        </w:numPr>
        <w:spacing w:after="0" w:afterAutospacing="0"/>
        <w:ind w:left="360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no control maps have been played, the team who lost the last game chooses the map and the other team has a choice of sides. If the last game was drawn, the team that chose the last map has a choice of side and the other team has a choice of map.</w:t>
      </w:r>
    </w:p>
    <w:p w:rsidR="00000000" w:rsidDel="00000000" w:rsidP="00000000" w:rsidRDefault="00000000" w:rsidRPr="00000000" w14:paraId="0000005A">
      <w:pPr>
        <w:pStyle w:val="Heading2"/>
        <w:pageBreakBefore w:val="0"/>
        <w:numPr>
          <w:ilvl w:val="1"/>
          <w:numId w:val="3"/>
        </w:numPr>
        <w:spacing w:after="0" w:afterAutospacing="0" w:before="0" w:beforeAutospacing="0"/>
        <w:ind w:left="1440" w:hanging="360"/>
        <w:rPr/>
      </w:pPr>
      <w:bookmarkStart w:colFirst="0" w:colLast="0" w:name="_ckie0xcedq7k" w:id="12"/>
      <w:bookmarkEnd w:id="12"/>
      <w:r w:rsidDel="00000000" w:rsidR="00000000" w:rsidRPr="00000000">
        <w:rPr>
          <w:rtl w:val="0"/>
        </w:rPr>
        <w:t xml:space="preserve">Pauses</w:t>
      </w:r>
    </w:p>
    <w:p w:rsidR="00000000" w:rsidDel="00000000" w:rsidP="00000000" w:rsidRDefault="00000000" w:rsidRPr="00000000" w14:paraId="0000005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use the pause function to resolve technical or rules issues.</w:t>
      </w:r>
    </w:p>
    <w:p w:rsidR="00000000" w:rsidDel="00000000" w:rsidP="00000000" w:rsidRDefault="00000000" w:rsidRPr="00000000" w14:paraId="0000005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should request a pause using all chat, at which point the lobby leader should pause as soon as possible.</w:t>
      </w:r>
    </w:p>
    <w:p w:rsidR="00000000" w:rsidDel="00000000" w:rsidP="00000000" w:rsidRDefault="00000000" w:rsidRPr="00000000" w14:paraId="0000005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Once a game is paused, the team that initiated the pause should make the other team aware of the reason for the pause and give an estimate of the length of the pause.</w:t>
      </w:r>
    </w:p>
    <w:p w:rsidR="00000000" w:rsidDel="00000000" w:rsidP="00000000" w:rsidRDefault="00000000" w:rsidRPr="00000000" w14:paraId="0000005E">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Before unpausing a paused game both teams should indicate they are ready to continue.</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tl w:val="0"/>
        </w:rPr>
        <w:t xml:space="preserve">In the event of an extended pause, over 5 minutes, the NSE tournament team should be contacted. The NSE tournament team will then decide whether to extend the pause or to resume play based on the likelihood to resolve the issue.</w:t>
      </w:r>
      <w:r w:rsidDel="00000000" w:rsidR="00000000" w:rsidRPr="00000000">
        <w:rPr>
          <w:rFonts w:ascii="Titillium Web" w:cs="Titillium Web" w:eastAsia="Titillium Web" w:hAnsi="Titillium Web"/>
          <w:rtl w:val="0"/>
        </w:rPr>
        <w:t xml:space="preserve"> The game will automatically pause if a player disconnects.</w:t>
      </w:r>
    </w:p>
    <w:p w:rsidR="00000000" w:rsidDel="00000000" w:rsidP="00000000" w:rsidRDefault="00000000" w:rsidRPr="00000000" w14:paraId="00000060">
      <w:pPr>
        <w:pStyle w:val="Heading2"/>
        <w:pageBreakBefore w:val="0"/>
        <w:numPr>
          <w:ilvl w:val="1"/>
          <w:numId w:val="3"/>
        </w:numPr>
        <w:spacing w:before="0" w:beforeAutospacing="0"/>
        <w:ind w:left="1440" w:hanging="360"/>
        <w:rPr/>
      </w:pPr>
      <w:bookmarkStart w:colFirst="0" w:colLast="0" w:name="_kugbxg2esq7u" w:id="13"/>
      <w:bookmarkEnd w:id="13"/>
      <w:r w:rsidDel="00000000" w:rsidR="00000000" w:rsidRPr="00000000">
        <w:rPr>
          <w:rtl w:val="0"/>
        </w:rPr>
        <w:t xml:space="preserve">Draws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drawn map, the following map is chosen by the team who </w:t>
      </w:r>
      <w:r w:rsidDel="00000000" w:rsidR="00000000" w:rsidRPr="00000000">
        <w:rPr>
          <w:rtl w:val="0"/>
        </w:rPr>
        <w:t xml:space="preserve">chose </w:t>
      </w:r>
      <w:r w:rsidDel="00000000" w:rsidR="00000000" w:rsidRPr="00000000">
        <w:rPr>
          <w:rFonts w:ascii="Titillium Web" w:cs="Titillium Web" w:eastAsia="Titillium Web" w:hAnsi="Titillium Web"/>
          <w:rtl w:val="0"/>
        </w:rPr>
        <w:t xml:space="preserve">the drawn map and choice of side is given to the other team.</w:t>
      </w:r>
    </w:p>
    <w:p w:rsidR="00000000" w:rsidDel="00000000" w:rsidP="00000000" w:rsidRDefault="00000000" w:rsidRPr="00000000" w14:paraId="00000062">
      <w:pPr>
        <w:pStyle w:val="Heading2"/>
        <w:pageBreakBefore w:val="0"/>
        <w:numPr>
          <w:ilvl w:val="1"/>
          <w:numId w:val="3"/>
        </w:numPr>
        <w:ind w:left="1440" w:hanging="360"/>
        <w:rPr/>
      </w:pPr>
      <w:bookmarkStart w:colFirst="0" w:colLast="0" w:name="_rl2qf0y18gld" w:id="14"/>
      <w:bookmarkEnd w:id="14"/>
      <w:r w:rsidDel="00000000" w:rsidR="00000000" w:rsidRPr="00000000">
        <w:rPr>
          <w:rtl w:val="0"/>
        </w:rPr>
        <w:t xml:space="preserve">Bugs and Remakes</w:t>
      </w:r>
    </w:p>
    <w:p w:rsidR="00000000" w:rsidDel="00000000" w:rsidP="00000000" w:rsidRDefault="00000000" w:rsidRPr="00000000" w14:paraId="0000006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If a player fails to connect the game may be remade</w:t>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In the event of a bug in the game, the NSE admin team should be contacted. If the NSE admin team decides the bug will affect the competitive integrity of the game, they may decide to remake the game. </w:t>
      </w:r>
    </w:p>
    <w:p w:rsidR="00000000" w:rsidDel="00000000" w:rsidP="00000000" w:rsidRDefault="00000000" w:rsidRPr="00000000" w14:paraId="00000065">
      <w:pPr>
        <w:pStyle w:val="Heading2"/>
        <w:pageBreakBefore w:val="0"/>
        <w:numPr>
          <w:ilvl w:val="1"/>
          <w:numId w:val="3"/>
        </w:numPr>
        <w:spacing w:before="0" w:beforeAutospacing="0"/>
        <w:ind w:left="1440" w:hanging="360"/>
        <w:rPr/>
      </w:pPr>
      <w:bookmarkStart w:colFirst="0" w:colLast="0" w:name="_swb5m1ul86hj" w:id="15"/>
      <w:bookmarkEnd w:id="15"/>
      <w:r w:rsidDel="00000000" w:rsidR="00000000" w:rsidRPr="00000000">
        <w:rPr>
          <w:rtl w:val="0"/>
        </w:rPr>
        <w:t xml:space="preserve">No show</w:t>
      </w:r>
    </w:p>
    <w:p w:rsidR="00000000" w:rsidDel="00000000" w:rsidP="00000000" w:rsidRDefault="00000000" w:rsidRPr="00000000" w14:paraId="0000006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6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6 players should be in the lobby within 20 minutes of the scheduled start time or within 20 minutes of the previous round ending, whichever is later.</w:t>
      </w:r>
    </w:p>
    <w:p w:rsidR="00000000" w:rsidDel="00000000" w:rsidP="00000000" w:rsidRDefault="00000000" w:rsidRPr="00000000" w14:paraId="00000068">
      <w:pPr>
        <w:pStyle w:val="Heading2"/>
        <w:pageBreakBefore w:val="0"/>
        <w:numPr>
          <w:ilvl w:val="1"/>
          <w:numId w:val="3"/>
        </w:numPr>
        <w:spacing w:after="0" w:afterAutospacing="0" w:before="0" w:beforeAutospacing="0"/>
        <w:ind w:left="1440" w:hanging="360"/>
        <w:rPr/>
      </w:pPr>
      <w:bookmarkStart w:colFirst="0" w:colLast="0" w:name="_yrtycq6dvyw9" w:id="16"/>
      <w:bookmarkEnd w:id="16"/>
      <w:r w:rsidDel="00000000" w:rsidR="00000000" w:rsidRPr="00000000">
        <w:rPr>
          <w:rtl w:val="0"/>
        </w:rPr>
        <w:t xml:space="preserve">Submitting Results</w:t>
      </w:r>
    </w:p>
    <w:p w:rsidR="00000000" w:rsidDel="00000000" w:rsidP="00000000" w:rsidRDefault="00000000" w:rsidRPr="00000000" w14:paraId="0000006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6A">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p>
    <w:p w:rsidR="00000000" w:rsidDel="00000000" w:rsidP="00000000" w:rsidRDefault="00000000" w:rsidRPr="00000000" w14:paraId="0000006B">
      <w:pPr>
        <w:pageBreakBefore w:val="0"/>
        <w:ind w:left="72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6C">
      <w:pPr>
        <w:pStyle w:val="Heading1"/>
        <w:pageBreakBefore w:val="0"/>
        <w:numPr>
          <w:ilvl w:val="0"/>
          <w:numId w:val="3"/>
        </w:numPr>
        <w:spacing w:after="0" w:afterAutospacing="0"/>
        <w:ind w:left="720" w:hanging="360"/>
        <w:rPr/>
      </w:pPr>
      <w:bookmarkStart w:colFirst="0" w:colLast="0" w:name="_8oqy1zx6bpcg" w:id="17"/>
      <w:bookmarkEnd w:id="17"/>
      <w:r w:rsidDel="00000000" w:rsidR="00000000" w:rsidRPr="00000000">
        <w:rPr>
          <w:rtl w:val="0"/>
        </w:rPr>
        <w:t xml:space="preserve">Spectator Rules</w:t>
      </w:r>
    </w:p>
    <w:p w:rsidR="00000000" w:rsidDel="00000000" w:rsidP="00000000" w:rsidRDefault="00000000" w:rsidRPr="00000000" w14:paraId="0000006D">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reserves the right to cast any game played as part of the tournament..</w:t>
      </w:r>
    </w:p>
    <w:p w:rsidR="00000000" w:rsidDel="00000000" w:rsidP="00000000" w:rsidRDefault="00000000" w:rsidRPr="00000000" w14:paraId="0000006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6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70">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7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72">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73">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players in the game.</w:t>
      </w:r>
    </w:p>
    <w:p w:rsidR="00000000" w:rsidDel="00000000" w:rsidP="00000000" w:rsidRDefault="00000000" w:rsidRPr="00000000" w14:paraId="00000074">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7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76">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7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w:t>
      </w:r>
      <w:r w:rsidDel="00000000" w:rsidR="00000000" w:rsidRPr="00000000">
        <w:rPr>
          <w:rtl w:val="0"/>
        </w:rPr>
        <w:t xml:space="preserve">, </w:t>
      </w:r>
      <w:r w:rsidDel="00000000" w:rsidR="00000000" w:rsidRPr="00000000">
        <w:rPr>
          <w:rFonts w:ascii="Titillium Web" w:cs="Titillium Web" w:eastAsia="Titillium Web" w:hAnsi="Titillium Web"/>
          <w:rtl w:val="0"/>
        </w:rPr>
        <w:t xml:space="preserve">anyone not currently playing in the game</w:t>
      </w:r>
      <w:r w:rsidDel="00000000" w:rsidR="00000000" w:rsidRPr="00000000">
        <w:rPr>
          <w:rtl w:val="0"/>
        </w:rPr>
        <w:t xml:space="preserve">,</w:t>
      </w:r>
      <w:r w:rsidDel="00000000" w:rsidR="00000000" w:rsidRPr="00000000">
        <w:rPr>
          <w:rFonts w:ascii="Titillium Web" w:cs="Titillium Web" w:eastAsia="Titillium Web" w:hAnsi="Titillium Web"/>
          <w:rtl w:val="0"/>
        </w:rPr>
        <w:t xml:space="preserve"> may stream games from a team's perspective with permission from that team using the team specific spectator slot. </w:t>
      </w:r>
    </w:p>
    <w:p w:rsidR="00000000" w:rsidDel="00000000" w:rsidP="00000000" w:rsidRDefault="00000000" w:rsidRPr="00000000" w14:paraId="00000078">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third party has both teams' permission, they may stream the game using the main spectator slot. </w:t>
      </w:r>
    </w:p>
    <w:p w:rsidR="00000000" w:rsidDel="00000000" w:rsidP="00000000" w:rsidRDefault="00000000" w:rsidRPr="00000000" w14:paraId="00000079">
      <w:pPr>
        <w:pageBreakBefore w:val="0"/>
        <w:numPr>
          <w:ilvl w:val="4"/>
          <w:numId w:val="3"/>
        </w:numPr>
        <w:spacing w:before="0" w:beforeAutospacing="0"/>
        <w:ind w:left="3600" w:hanging="360"/>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7A">
      <w:pPr>
        <w:pageBreakBefore w:val="0"/>
        <w:ind w:left="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7B">
      <w:pPr>
        <w:pStyle w:val="Heading1"/>
        <w:pageBreakBefore w:val="0"/>
        <w:numPr>
          <w:ilvl w:val="0"/>
          <w:numId w:val="3"/>
        </w:numPr>
        <w:spacing w:after="0" w:afterAutospacing="0"/>
        <w:ind w:left="720" w:hanging="360"/>
        <w:rPr/>
      </w:pPr>
      <w:bookmarkStart w:colFirst="0" w:colLast="0" w:name="_29kha1hgsgh1" w:id="18"/>
      <w:bookmarkEnd w:id="18"/>
      <w:r w:rsidDel="00000000" w:rsidR="00000000" w:rsidRPr="00000000">
        <w:rPr>
          <w:rtl w:val="0"/>
        </w:rPr>
        <w:t xml:space="preserve">Sportsmanship</w:t>
      </w:r>
    </w:p>
    <w:p w:rsidR="00000000" w:rsidDel="00000000" w:rsidP="00000000" w:rsidRDefault="00000000" w:rsidRPr="00000000" w14:paraId="0000007C">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Students are expected to uphold the principles of sportsmanship and fair play at all times during the NSE Season. Students who do not conform to these principles will be penalised. Additionally, it is a captain's responsibility to ensure their team behaves in a sporting manner.</w:t>
      </w:r>
      <w:r w:rsidDel="00000000" w:rsidR="00000000" w:rsidRPr="00000000">
        <w:rPr>
          <w:rtl w:val="0"/>
        </w:rPr>
      </w:r>
    </w:p>
    <w:p w:rsidR="00000000" w:rsidDel="00000000" w:rsidP="00000000" w:rsidRDefault="00000000" w:rsidRPr="00000000" w14:paraId="0000007D">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Unfair Play</w:t>
      </w:r>
    </w:p>
    <w:p w:rsidR="00000000" w:rsidDel="00000000" w:rsidP="00000000" w:rsidRDefault="00000000" w:rsidRPr="00000000" w14:paraId="0000007E">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7F">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8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w:t>
      </w:r>
      <w:r w:rsidDel="00000000" w:rsidR="00000000" w:rsidRPr="00000000">
        <w:rPr>
          <w:rtl w:val="0"/>
        </w:rPr>
        <w:t xml:space="preserve">bugs</w:t>
      </w:r>
      <w:r w:rsidDel="00000000" w:rsidR="00000000" w:rsidRPr="00000000">
        <w:rPr>
          <w:rFonts w:ascii="Titillium Web" w:cs="Titillium Web" w:eastAsia="Titillium Web" w:hAnsi="Titillium Web"/>
          <w:rtl w:val="0"/>
        </w:rPr>
        <w:t xml:space="preserve"> to gain an advantage.</w:t>
      </w:r>
    </w:p>
    <w:p w:rsidR="00000000" w:rsidDel="00000000" w:rsidP="00000000" w:rsidRDefault="00000000" w:rsidRPr="00000000" w14:paraId="0000008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8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8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84">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85">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8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8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88">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89">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8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8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8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8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8E">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Penalties</w:t>
      </w:r>
    </w:p>
    <w:p w:rsidR="00000000" w:rsidDel="00000000" w:rsidP="00000000" w:rsidRDefault="00000000" w:rsidRPr="00000000" w14:paraId="0000008F">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p>
    <w:p w:rsidR="00000000" w:rsidDel="00000000" w:rsidP="00000000" w:rsidRDefault="00000000" w:rsidRPr="00000000" w14:paraId="00000090">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9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9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9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9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9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9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9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9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w:t>
      </w:r>
      <w:r w:rsidDel="00000000" w:rsidR="00000000" w:rsidRPr="00000000">
        <w:rPr>
          <w:rtl w:val="0"/>
        </w:rPr>
        <w:t xml:space="preserve">Overwatch 2</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99">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r w:rsidDel="00000000" w:rsidR="00000000" w:rsidRPr="00000000">
        <w:rPr>
          <w:rtl w:val="0"/>
        </w:rPr>
      </w:r>
    </w:p>
    <w:p w:rsidR="00000000" w:rsidDel="00000000" w:rsidP="00000000" w:rsidRDefault="00000000" w:rsidRPr="00000000" w14:paraId="0000009A">
      <w:pPr>
        <w:pStyle w:val="Heading1"/>
        <w:pageBreakBefore w:val="0"/>
        <w:numPr>
          <w:ilvl w:val="0"/>
          <w:numId w:val="3"/>
        </w:numPr>
        <w:spacing w:after="0" w:afterAutospacing="0" w:before="200" w:lineRule="auto"/>
        <w:ind w:left="720" w:hanging="360"/>
        <w:rPr/>
      </w:pPr>
      <w:bookmarkStart w:colFirst="0" w:colLast="0" w:name="_qagbw54fm2t" w:id="19"/>
      <w:bookmarkEnd w:id="19"/>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9B">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9C">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late and no show penalties</w:t>
      </w:r>
    </w:p>
    <w:p w:rsidR="00000000" w:rsidDel="00000000" w:rsidP="00000000" w:rsidRDefault="00000000" w:rsidRPr="00000000" w14:paraId="0000009D">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9E">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9F">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p>
    <w:p w:rsidR="00000000" w:rsidDel="00000000" w:rsidP="00000000" w:rsidRDefault="00000000" w:rsidRPr="00000000" w14:paraId="000000A0">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r w:rsidDel="00000000" w:rsidR="00000000" w:rsidRPr="00000000">
        <w:rPr>
          <w:rtl w:val="0"/>
        </w:rPr>
      </w:r>
    </w:p>
    <w:p w:rsidR="00000000" w:rsidDel="00000000" w:rsidP="00000000" w:rsidRDefault="00000000" w:rsidRPr="00000000" w14:paraId="000000A1">
      <w:pPr>
        <w:pStyle w:val="Heading1"/>
        <w:pageBreakBefore w:val="0"/>
        <w:numPr>
          <w:ilvl w:val="0"/>
          <w:numId w:val="3"/>
        </w:numPr>
        <w:spacing w:after="0" w:afterAutospacing="0" w:before="200" w:lineRule="auto"/>
        <w:ind w:left="720" w:hanging="360"/>
        <w:rPr/>
      </w:pPr>
      <w:bookmarkStart w:colFirst="0" w:colLast="0" w:name="_74q7v5up9w7c" w:id="20"/>
      <w:bookmarkEnd w:id="20"/>
      <w:r w:rsidDel="00000000" w:rsidR="00000000" w:rsidRPr="00000000">
        <w:rPr>
          <w:rtl w:val="0"/>
        </w:rPr>
        <w:t xml:space="preserve">Prizes</w:t>
      </w:r>
    </w:p>
    <w:p w:rsidR="00000000" w:rsidDel="00000000" w:rsidP="00000000" w:rsidRDefault="00000000" w:rsidRPr="00000000" w14:paraId="000000A2">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w:t>
      </w:r>
      <w:r w:rsidDel="00000000" w:rsidR="00000000" w:rsidRPr="00000000">
        <w:rPr>
          <w:rtl w:val="0"/>
        </w:rPr>
        <w:t xml:space="preserve">the</w:t>
      </w:r>
      <w:r w:rsidDel="00000000" w:rsidR="00000000" w:rsidRPr="00000000">
        <w:rPr>
          <w:rFonts w:ascii="Titillium Web" w:cs="Titillium Web" w:eastAsia="Titillium Web" w:hAnsi="Titillium Web"/>
          <w:rtl w:val="0"/>
        </w:rPr>
        <w:t xml:space="preserv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A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A4">
      <w:pPr>
        <w:pStyle w:val="Heading1"/>
        <w:pageBreakBefore w:val="0"/>
        <w:numPr>
          <w:ilvl w:val="0"/>
          <w:numId w:val="3"/>
        </w:numPr>
        <w:spacing w:after="0" w:afterAutospacing="0" w:before="0" w:beforeAutospacing="0"/>
        <w:ind w:left="720" w:hanging="360"/>
        <w:rPr/>
      </w:pPr>
      <w:bookmarkStart w:colFirst="0" w:colLast="0" w:name="_2o4hreedlpv9" w:id="21"/>
      <w:bookmarkEnd w:id="21"/>
      <w:r w:rsidDel="00000000" w:rsidR="00000000" w:rsidRPr="00000000">
        <w:rPr>
          <w:rtl w:val="0"/>
        </w:rPr>
        <w:t xml:space="preserve">Enforcement of Rules</w:t>
      </w:r>
    </w:p>
    <w:p w:rsidR="00000000" w:rsidDel="00000000" w:rsidP="00000000" w:rsidRDefault="00000000" w:rsidRPr="00000000" w14:paraId="000000A5">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A6">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w:t>
      </w:r>
      <w:r w:rsidDel="00000000" w:rsidR="00000000" w:rsidRPr="00000000">
        <w:rPr>
          <w:rtl w:val="0"/>
        </w:rPr>
        <w:t xml:space="preserve">are at</w:t>
      </w:r>
      <w:r w:rsidDel="00000000" w:rsidR="00000000" w:rsidRPr="00000000">
        <w:rPr>
          <w:rFonts w:ascii="Titillium Web" w:cs="Titillium Web" w:eastAsia="Titillium Web" w:hAnsi="Titillium Web"/>
          <w:rtl w:val="0"/>
        </w:rPr>
        <w:t xml:space="preserve"> the sole discretion of the NSE Admin Team, whose decisions are final. </w:t>
      </w:r>
    </w:p>
    <w:p w:rsidR="00000000" w:rsidDel="00000000" w:rsidP="00000000" w:rsidRDefault="00000000" w:rsidRPr="00000000" w14:paraId="000000A7">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p>
    <w:p w:rsidR="00000000" w:rsidDel="00000000" w:rsidP="00000000" w:rsidRDefault="00000000" w:rsidRPr="00000000" w14:paraId="000000A8">
      <w:pPr>
        <w:pStyle w:val="Heading1"/>
        <w:pageBreakBefore w:val="0"/>
        <w:ind w:left="0" w:firstLine="0"/>
        <w:rPr/>
      </w:pPr>
      <w:bookmarkStart w:colFirst="0" w:colLast="0" w:name="_h6qkn5jw9p3l" w:id="22"/>
      <w:bookmarkEnd w:id="22"/>
      <w:r w:rsidDel="00000000" w:rsidR="00000000" w:rsidRPr="00000000">
        <w:rPr>
          <w:rtl w:val="0"/>
        </w:rPr>
        <w:t xml:space="preserve">Appendix A </w:t>
      </w:r>
    </w:p>
    <w:p w:rsidR="00000000" w:rsidDel="00000000" w:rsidP="00000000" w:rsidRDefault="00000000" w:rsidRPr="00000000" w14:paraId="000000A9">
      <w:pPr>
        <w:pageBreakBefore w:val="0"/>
        <w:rPr>
          <w:u w:val="single"/>
        </w:rPr>
      </w:pPr>
      <w:r w:rsidDel="00000000" w:rsidR="00000000" w:rsidRPr="00000000">
        <w:rPr>
          <w:rFonts w:ascii="Titillium Web" w:cs="Titillium Web" w:eastAsia="Titillium Web" w:hAnsi="Titillium Web"/>
          <w:rtl w:val="0"/>
        </w:rPr>
        <w:t xml:space="preserve">Appendix A shows the game modes chosen for each week of tournament</w:t>
      </w:r>
      <w:r w:rsidDel="00000000" w:rsidR="00000000" w:rsidRPr="00000000">
        <w:rPr>
          <w:rtl w:val="0"/>
        </w:rPr>
      </w:r>
    </w:p>
    <w:p w:rsidR="00000000" w:rsidDel="00000000" w:rsidP="00000000" w:rsidRDefault="00000000" w:rsidRPr="00000000" w14:paraId="000000AA">
      <w:pPr>
        <w:pageBreakBefore w:val="0"/>
        <w:rPr>
          <w:u w:val="single"/>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AB">
      <w:pPr>
        <w:pStyle w:val="Heading3"/>
        <w:pageBreakBefore w:val="0"/>
        <w:spacing w:before="0" w:lineRule="auto"/>
        <w:rPr/>
      </w:pPr>
      <w:bookmarkStart w:colFirst="0" w:colLast="0" w:name="_qaf135cpzl7h" w:id="23"/>
      <w:bookmarkEnd w:id="23"/>
      <w:r w:rsidDel="00000000" w:rsidR="00000000" w:rsidRPr="00000000">
        <w:rPr>
          <w:rtl w:val="0"/>
        </w:rPr>
        <w:t xml:space="preserve">Week 1</w:t>
      </w:r>
    </w:p>
    <w:p w:rsidR="00000000" w:rsidDel="00000000" w:rsidP="00000000" w:rsidRDefault="00000000" w:rsidRPr="00000000" w14:paraId="000000AC">
      <w:pPr>
        <w:pageBreakBefore w:val="0"/>
        <w:spacing w:before="0" w:lineRule="auto"/>
        <w:rPr/>
      </w:pPr>
      <w:r w:rsidDel="00000000" w:rsidR="00000000" w:rsidRPr="00000000">
        <w:rPr>
          <w:rtl w:val="0"/>
        </w:rPr>
        <w:br w:type="textWrapping"/>
        <w:t xml:space="preserve">Escort</w:t>
      </w:r>
    </w:p>
    <w:p w:rsidR="00000000" w:rsidDel="00000000" w:rsidP="00000000" w:rsidRDefault="00000000" w:rsidRPr="00000000" w14:paraId="000000AD">
      <w:pPr>
        <w:pageBreakBefore w:val="0"/>
        <w:spacing w:before="0" w:lineRule="auto"/>
        <w:rPr/>
      </w:pPr>
      <w:r w:rsidDel="00000000" w:rsidR="00000000" w:rsidRPr="00000000">
        <w:rPr>
          <w:rtl w:val="0"/>
        </w:rPr>
        <w:t xml:space="preserve">Hybrid</w:t>
      </w:r>
    </w:p>
    <w:p w:rsidR="00000000" w:rsidDel="00000000" w:rsidP="00000000" w:rsidRDefault="00000000" w:rsidRPr="00000000" w14:paraId="000000AE">
      <w:pPr>
        <w:pageBreakBefore w:val="0"/>
        <w:spacing w:before="0" w:lineRule="auto"/>
        <w:rPr/>
      </w:pPr>
      <w:r w:rsidDel="00000000" w:rsidR="00000000" w:rsidRPr="00000000">
        <w:rPr>
          <w:rtl w:val="0"/>
        </w:rPr>
        <w:t xml:space="preserve">Flashpoint</w:t>
      </w:r>
      <w:r w:rsidDel="00000000" w:rsidR="00000000" w:rsidRPr="00000000">
        <w:rPr>
          <w:rtl w:val="0"/>
        </w:rPr>
      </w:r>
    </w:p>
    <w:p w:rsidR="00000000" w:rsidDel="00000000" w:rsidP="00000000" w:rsidRDefault="00000000" w:rsidRPr="00000000" w14:paraId="000000AF">
      <w:pPr>
        <w:pStyle w:val="Heading3"/>
        <w:pageBreakBefore w:val="0"/>
        <w:rPr/>
      </w:pPr>
      <w:bookmarkStart w:colFirst="0" w:colLast="0" w:name="_rn4tnk5vnp5e" w:id="24"/>
      <w:bookmarkEnd w:id="24"/>
      <w:r w:rsidDel="00000000" w:rsidR="00000000" w:rsidRPr="00000000">
        <w:rPr>
          <w:rtl w:val="0"/>
        </w:rPr>
        <w:t xml:space="preserve">Week 2</w:t>
      </w:r>
    </w:p>
    <w:p w:rsidR="00000000" w:rsidDel="00000000" w:rsidP="00000000" w:rsidRDefault="00000000" w:rsidRPr="00000000" w14:paraId="000000B0">
      <w:pPr>
        <w:pageBreakBefore w:val="0"/>
        <w:spacing w:before="0" w:lineRule="auto"/>
        <w:rPr/>
      </w:pPr>
      <w:r w:rsidDel="00000000" w:rsidR="00000000" w:rsidRPr="00000000">
        <w:rPr>
          <w:rtl w:val="0"/>
        </w:rPr>
        <w:br w:type="textWrapping"/>
        <w:t xml:space="preserve">Control</w:t>
      </w:r>
    </w:p>
    <w:p w:rsidR="00000000" w:rsidDel="00000000" w:rsidP="00000000" w:rsidRDefault="00000000" w:rsidRPr="00000000" w14:paraId="000000B1">
      <w:pPr>
        <w:pageBreakBefore w:val="0"/>
        <w:spacing w:before="0" w:lineRule="auto"/>
        <w:rPr/>
      </w:pPr>
      <w:r w:rsidDel="00000000" w:rsidR="00000000" w:rsidRPr="00000000">
        <w:rPr>
          <w:rtl w:val="0"/>
        </w:rPr>
        <w:t xml:space="preserve">Flashpoint</w:t>
      </w:r>
    </w:p>
    <w:p w:rsidR="00000000" w:rsidDel="00000000" w:rsidP="00000000" w:rsidRDefault="00000000" w:rsidRPr="00000000" w14:paraId="000000B2">
      <w:pPr>
        <w:pageBreakBefore w:val="0"/>
        <w:spacing w:before="0" w:lineRule="auto"/>
        <w:rPr/>
      </w:pPr>
      <w:r w:rsidDel="00000000" w:rsidR="00000000" w:rsidRPr="00000000">
        <w:rPr>
          <w:rtl w:val="0"/>
        </w:rPr>
        <w:t xml:space="preserve">Push</w:t>
      </w:r>
      <w:r w:rsidDel="00000000" w:rsidR="00000000" w:rsidRPr="00000000">
        <w:rPr>
          <w:rtl w:val="0"/>
        </w:rPr>
      </w:r>
    </w:p>
    <w:p w:rsidR="00000000" w:rsidDel="00000000" w:rsidP="00000000" w:rsidRDefault="00000000" w:rsidRPr="00000000" w14:paraId="000000B3">
      <w:pPr>
        <w:pStyle w:val="Heading3"/>
        <w:pageBreakBefore w:val="0"/>
        <w:rPr/>
      </w:pPr>
      <w:bookmarkStart w:colFirst="0" w:colLast="0" w:name="_3sq7m8bz0wwq" w:id="25"/>
      <w:bookmarkEnd w:id="25"/>
      <w:r w:rsidDel="00000000" w:rsidR="00000000" w:rsidRPr="00000000">
        <w:rPr>
          <w:rtl w:val="0"/>
        </w:rPr>
        <w:t xml:space="preserve">Week 3</w:t>
      </w:r>
    </w:p>
    <w:p w:rsidR="00000000" w:rsidDel="00000000" w:rsidP="00000000" w:rsidRDefault="00000000" w:rsidRPr="00000000" w14:paraId="000000B4">
      <w:pPr>
        <w:pageBreakBefore w:val="0"/>
        <w:spacing w:before="0" w:lineRule="auto"/>
        <w:rPr/>
      </w:pPr>
      <w:r w:rsidDel="00000000" w:rsidR="00000000" w:rsidRPr="00000000">
        <w:rPr>
          <w:rtl w:val="0"/>
        </w:rPr>
        <w:br w:type="textWrapping"/>
        <w:t xml:space="preserve">Hybrid</w:t>
      </w:r>
    </w:p>
    <w:p w:rsidR="00000000" w:rsidDel="00000000" w:rsidP="00000000" w:rsidRDefault="00000000" w:rsidRPr="00000000" w14:paraId="000000B5">
      <w:pPr>
        <w:pageBreakBefore w:val="0"/>
        <w:spacing w:before="0" w:lineRule="auto"/>
        <w:rPr/>
      </w:pPr>
      <w:r w:rsidDel="00000000" w:rsidR="00000000" w:rsidRPr="00000000">
        <w:rPr>
          <w:rtl w:val="0"/>
        </w:rPr>
        <w:t xml:space="preserve">Control</w:t>
      </w:r>
    </w:p>
    <w:p w:rsidR="00000000" w:rsidDel="00000000" w:rsidP="00000000" w:rsidRDefault="00000000" w:rsidRPr="00000000" w14:paraId="000000B6">
      <w:pPr>
        <w:pageBreakBefore w:val="0"/>
        <w:spacing w:before="0" w:lineRule="auto"/>
        <w:rPr/>
      </w:pPr>
      <w:r w:rsidDel="00000000" w:rsidR="00000000" w:rsidRPr="00000000">
        <w:rPr>
          <w:rtl w:val="0"/>
        </w:rPr>
        <w:t xml:space="preserve">Escort</w:t>
      </w:r>
      <w:r w:rsidDel="00000000" w:rsidR="00000000" w:rsidRPr="00000000">
        <w:rPr>
          <w:rtl w:val="0"/>
        </w:rPr>
      </w:r>
    </w:p>
    <w:p w:rsidR="00000000" w:rsidDel="00000000" w:rsidP="00000000" w:rsidRDefault="00000000" w:rsidRPr="00000000" w14:paraId="000000B7">
      <w:pPr>
        <w:pStyle w:val="Heading3"/>
        <w:pageBreakBefore w:val="0"/>
        <w:rPr/>
      </w:pPr>
      <w:bookmarkStart w:colFirst="0" w:colLast="0" w:name="_7dkk5mkr3qzk" w:id="26"/>
      <w:bookmarkEnd w:id="26"/>
      <w:r w:rsidDel="00000000" w:rsidR="00000000" w:rsidRPr="00000000">
        <w:rPr>
          <w:rtl w:val="0"/>
        </w:rPr>
        <w:t xml:space="preserve">Week 4</w:t>
      </w:r>
    </w:p>
    <w:p w:rsidR="00000000" w:rsidDel="00000000" w:rsidP="00000000" w:rsidRDefault="00000000" w:rsidRPr="00000000" w14:paraId="000000B8">
      <w:pPr>
        <w:pageBreakBefore w:val="0"/>
        <w:spacing w:before="0" w:lineRule="auto"/>
        <w:rPr/>
      </w:pPr>
      <w:r w:rsidDel="00000000" w:rsidR="00000000" w:rsidRPr="00000000">
        <w:rPr>
          <w:rtl w:val="0"/>
        </w:rPr>
        <w:br w:type="textWrapping"/>
        <w:t xml:space="preserve">Flashpoint</w:t>
      </w:r>
    </w:p>
    <w:p w:rsidR="00000000" w:rsidDel="00000000" w:rsidP="00000000" w:rsidRDefault="00000000" w:rsidRPr="00000000" w14:paraId="000000B9">
      <w:pPr>
        <w:pageBreakBefore w:val="0"/>
        <w:spacing w:before="0" w:lineRule="auto"/>
        <w:rPr/>
      </w:pPr>
      <w:r w:rsidDel="00000000" w:rsidR="00000000" w:rsidRPr="00000000">
        <w:rPr>
          <w:rtl w:val="0"/>
        </w:rPr>
        <w:t xml:space="preserve">Push</w:t>
        <w:br w:type="textWrapping"/>
        <w:t xml:space="preserve">Hybrid</w:t>
      </w:r>
      <w:r w:rsidDel="00000000" w:rsidR="00000000" w:rsidRPr="00000000">
        <w:rPr>
          <w:rtl w:val="0"/>
        </w:rPr>
      </w:r>
    </w:p>
    <w:p w:rsidR="00000000" w:rsidDel="00000000" w:rsidP="00000000" w:rsidRDefault="00000000" w:rsidRPr="00000000" w14:paraId="000000B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color w:val="434343"/>
          <w:sz w:val="28"/>
          <w:szCs w:val="28"/>
        </w:rPr>
      </w:pPr>
      <w:bookmarkStart w:colFirst="0" w:colLast="0" w:name="_rah0p4kp26gd" w:id="27"/>
      <w:bookmarkEnd w:id="27"/>
      <w:r w:rsidDel="00000000" w:rsidR="00000000" w:rsidRPr="00000000">
        <w:rPr>
          <w:color w:val="434343"/>
          <w:sz w:val="28"/>
          <w:szCs w:val="28"/>
          <w:rtl w:val="0"/>
        </w:rPr>
        <w:t xml:space="preserve">Week 5</w:t>
      </w:r>
    </w:p>
    <w:p w:rsidR="00000000" w:rsidDel="00000000" w:rsidP="00000000" w:rsidRDefault="00000000" w:rsidRPr="00000000" w14:paraId="000000BB">
      <w:pPr>
        <w:pageBreakBefore w:val="0"/>
        <w:spacing w:before="0" w:lineRule="auto"/>
        <w:rPr/>
      </w:pPr>
      <w:r w:rsidDel="00000000" w:rsidR="00000000" w:rsidRPr="00000000">
        <w:rPr>
          <w:rtl w:val="0"/>
        </w:rPr>
        <w:t xml:space="preserve">Push</w:t>
      </w:r>
    </w:p>
    <w:p w:rsidR="00000000" w:rsidDel="00000000" w:rsidP="00000000" w:rsidRDefault="00000000" w:rsidRPr="00000000" w14:paraId="000000BC">
      <w:pPr>
        <w:pageBreakBefore w:val="0"/>
        <w:spacing w:before="0" w:lineRule="auto"/>
        <w:rPr/>
      </w:pPr>
      <w:r w:rsidDel="00000000" w:rsidR="00000000" w:rsidRPr="00000000">
        <w:rPr>
          <w:rtl w:val="0"/>
        </w:rPr>
        <w:t xml:space="preserve">Escort</w:t>
      </w:r>
    </w:p>
    <w:p w:rsidR="00000000" w:rsidDel="00000000" w:rsidP="00000000" w:rsidRDefault="00000000" w:rsidRPr="00000000" w14:paraId="000000BD">
      <w:pPr>
        <w:pageBreakBefore w:val="0"/>
        <w:spacing w:before="0" w:lineRule="auto"/>
        <w:rPr/>
      </w:pPr>
      <w:r w:rsidDel="00000000" w:rsidR="00000000" w:rsidRPr="00000000">
        <w:rPr>
          <w:rtl w:val="0"/>
        </w:rPr>
        <w:t xml:space="preserve">Flashpoint</w:t>
      </w:r>
      <w:r w:rsidDel="00000000" w:rsidR="00000000" w:rsidRPr="00000000">
        <w:rPr>
          <w:rtl w:val="0"/>
        </w:rPr>
      </w:r>
    </w:p>
    <w:p w:rsidR="00000000" w:rsidDel="00000000" w:rsidP="00000000" w:rsidRDefault="00000000" w:rsidRPr="00000000" w14:paraId="000000BE">
      <w:pPr>
        <w:pStyle w:val="Heading3"/>
        <w:pageBreakBefore w:val="0"/>
        <w:rPr/>
      </w:pPr>
      <w:bookmarkStart w:colFirst="0" w:colLast="0" w:name="_j6fcwd2ni7q8" w:id="28"/>
      <w:bookmarkEnd w:id="28"/>
      <w:r w:rsidDel="00000000" w:rsidR="00000000" w:rsidRPr="00000000">
        <w:rPr>
          <w:rtl w:val="0"/>
        </w:rPr>
        <w:t xml:space="preserve">Week 6</w:t>
      </w:r>
    </w:p>
    <w:p w:rsidR="00000000" w:rsidDel="00000000" w:rsidP="00000000" w:rsidRDefault="00000000" w:rsidRPr="00000000" w14:paraId="000000BF">
      <w:pPr>
        <w:pageBreakBefore w:val="0"/>
        <w:spacing w:before="0" w:lineRule="auto"/>
        <w:rPr/>
      </w:pPr>
      <w:r w:rsidDel="00000000" w:rsidR="00000000" w:rsidRPr="00000000">
        <w:rPr>
          <w:rtl w:val="0"/>
        </w:rPr>
        <w:t xml:space="preserve">Escort</w:t>
      </w:r>
    </w:p>
    <w:p w:rsidR="00000000" w:rsidDel="00000000" w:rsidP="00000000" w:rsidRDefault="00000000" w:rsidRPr="00000000" w14:paraId="000000C0">
      <w:pPr>
        <w:pageBreakBefore w:val="0"/>
        <w:spacing w:before="0" w:lineRule="auto"/>
        <w:rPr/>
      </w:pPr>
      <w:r w:rsidDel="00000000" w:rsidR="00000000" w:rsidRPr="00000000">
        <w:rPr>
          <w:rtl w:val="0"/>
        </w:rPr>
        <w:t xml:space="preserve">Control</w:t>
      </w:r>
    </w:p>
    <w:p w:rsidR="00000000" w:rsidDel="00000000" w:rsidP="00000000" w:rsidRDefault="00000000" w:rsidRPr="00000000" w14:paraId="000000C1">
      <w:pPr>
        <w:pageBreakBefore w:val="0"/>
        <w:spacing w:before="0" w:lineRule="auto"/>
        <w:rPr/>
      </w:pPr>
      <w:r w:rsidDel="00000000" w:rsidR="00000000" w:rsidRPr="00000000">
        <w:rPr>
          <w:rtl w:val="0"/>
        </w:rPr>
        <w:t xml:space="preserve">Hybrid</w:t>
      </w:r>
    </w:p>
    <w:p w:rsidR="00000000" w:rsidDel="00000000" w:rsidP="00000000" w:rsidRDefault="00000000" w:rsidRPr="00000000" w14:paraId="000000C2">
      <w:pPr>
        <w:pStyle w:val="Heading3"/>
        <w:pageBreakBefore w:val="0"/>
        <w:rPr/>
      </w:pPr>
      <w:bookmarkStart w:colFirst="0" w:colLast="0" w:name="_khhqehfgr01g" w:id="29"/>
      <w:bookmarkEnd w:id="29"/>
      <w:r w:rsidDel="00000000" w:rsidR="00000000" w:rsidRPr="00000000">
        <w:rPr>
          <w:rtl w:val="0"/>
        </w:rPr>
        <w:t xml:space="preserve">Week 7</w:t>
      </w:r>
    </w:p>
    <w:p w:rsidR="00000000" w:rsidDel="00000000" w:rsidP="00000000" w:rsidRDefault="00000000" w:rsidRPr="00000000" w14:paraId="000000C3">
      <w:pPr>
        <w:pageBreakBefore w:val="0"/>
        <w:spacing w:before="0" w:lineRule="auto"/>
        <w:rPr/>
      </w:pPr>
      <w:r w:rsidDel="00000000" w:rsidR="00000000" w:rsidRPr="00000000">
        <w:rPr>
          <w:rtl w:val="0"/>
        </w:rPr>
        <w:t xml:space="preserve">Push</w:t>
      </w:r>
    </w:p>
    <w:p w:rsidR="00000000" w:rsidDel="00000000" w:rsidP="00000000" w:rsidRDefault="00000000" w:rsidRPr="00000000" w14:paraId="000000C4">
      <w:pPr>
        <w:pageBreakBefore w:val="0"/>
        <w:spacing w:before="0" w:lineRule="auto"/>
        <w:rPr/>
      </w:pPr>
      <w:r w:rsidDel="00000000" w:rsidR="00000000" w:rsidRPr="00000000">
        <w:rPr>
          <w:rtl w:val="0"/>
        </w:rPr>
        <w:t xml:space="preserve">Flashpoint</w:t>
      </w:r>
    </w:p>
    <w:p w:rsidR="00000000" w:rsidDel="00000000" w:rsidP="00000000" w:rsidRDefault="00000000" w:rsidRPr="00000000" w14:paraId="000000C5">
      <w:pPr>
        <w:pageBreakBefore w:val="0"/>
        <w:spacing w:before="0" w:lineRule="auto"/>
        <w:rPr/>
      </w:pPr>
      <w:r w:rsidDel="00000000" w:rsidR="00000000" w:rsidRPr="00000000">
        <w:rPr>
          <w:rtl w:val="0"/>
        </w:rPr>
        <w:t xml:space="preserve">Control</w:t>
      </w:r>
    </w:p>
    <w:p w:rsidR="00000000" w:rsidDel="00000000" w:rsidP="00000000" w:rsidRDefault="00000000" w:rsidRPr="00000000" w14:paraId="000000C6">
      <w:pPr>
        <w:pageBreakBefore w:val="0"/>
        <w:spacing w:before="0" w:lineRule="auto"/>
        <w:rPr/>
      </w:pPr>
      <w:r w:rsidDel="00000000" w:rsidR="00000000" w:rsidRPr="00000000">
        <w:rPr>
          <w:rtl w:val="0"/>
        </w:rPr>
      </w:r>
    </w:p>
    <w:p w:rsidR="00000000" w:rsidDel="00000000" w:rsidP="00000000" w:rsidRDefault="00000000" w:rsidRPr="00000000" w14:paraId="000000C7">
      <w:pPr>
        <w:pageBreakBefore w:val="0"/>
        <w:spacing w:before="0" w:lineRule="auto"/>
        <w:rPr/>
      </w:pPr>
      <w:r w:rsidDel="00000000" w:rsidR="00000000" w:rsidRPr="00000000">
        <w:rPr>
          <w:rtl w:val="0"/>
        </w:rPr>
      </w:r>
    </w:p>
    <w:p w:rsidR="00000000" w:rsidDel="00000000" w:rsidP="00000000" w:rsidRDefault="00000000" w:rsidRPr="00000000" w14:paraId="000000C8">
      <w:pPr>
        <w:pageBreakBefore w:val="0"/>
        <w:spacing w:before="0" w:lineRule="auto"/>
        <w:rPr/>
      </w:pPr>
      <w:r w:rsidDel="00000000" w:rsidR="00000000" w:rsidRPr="00000000">
        <w:rPr>
          <w:rtl w:val="0"/>
        </w:rPr>
      </w:r>
    </w:p>
    <w:p w:rsidR="00000000" w:rsidDel="00000000" w:rsidP="00000000" w:rsidRDefault="00000000" w:rsidRPr="00000000" w14:paraId="000000C9">
      <w:pPr>
        <w:pageBreakBefore w:val="0"/>
        <w:spacing w:before="0" w:lineRule="auto"/>
        <w:rPr/>
      </w:pPr>
      <w:r w:rsidDel="00000000" w:rsidR="00000000" w:rsidRPr="00000000">
        <w:rPr>
          <w:rtl w:val="0"/>
        </w:rPr>
      </w:r>
    </w:p>
    <w:p w:rsidR="00000000" w:rsidDel="00000000" w:rsidP="00000000" w:rsidRDefault="00000000" w:rsidRPr="00000000" w14:paraId="000000CA">
      <w:pPr>
        <w:pageBreakBefore w:val="0"/>
        <w:spacing w:before="0" w:lineRule="auto"/>
        <w:rPr/>
      </w:pPr>
      <w:r w:rsidDel="00000000" w:rsidR="00000000" w:rsidRPr="00000000">
        <w:rPr>
          <w:rtl w:val="0"/>
        </w:rPr>
      </w:r>
    </w:p>
    <w:p w:rsidR="00000000" w:rsidDel="00000000" w:rsidP="00000000" w:rsidRDefault="00000000" w:rsidRPr="00000000" w14:paraId="000000CB">
      <w:pPr>
        <w:pageBreakBefore w:val="0"/>
        <w:spacing w:before="0" w:lineRule="auto"/>
        <w:rPr/>
      </w:pPr>
      <w:r w:rsidDel="00000000" w:rsidR="00000000" w:rsidRPr="00000000">
        <w:rPr>
          <w:rtl w:val="0"/>
        </w:rPr>
      </w:r>
    </w:p>
    <w:p w:rsidR="00000000" w:rsidDel="00000000" w:rsidP="00000000" w:rsidRDefault="00000000" w:rsidRPr="00000000" w14:paraId="000000CC">
      <w:pPr>
        <w:pageBreakBefore w:val="0"/>
        <w:spacing w:before="0" w:lineRule="auto"/>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CD">
      <w:pPr>
        <w:pStyle w:val="Heading1"/>
        <w:pageBreakBefore w:val="0"/>
        <w:ind w:left="0" w:firstLine="0"/>
        <w:rPr/>
      </w:pPr>
      <w:bookmarkStart w:colFirst="0" w:colLast="0" w:name="_qbegqjutd1uz" w:id="30"/>
      <w:bookmarkEnd w:id="30"/>
      <w:r w:rsidDel="00000000" w:rsidR="00000000" w:rsidRPr="00000000">
        <w:rPr>
          <w:rtl w:val="0"/>
        </w:rPr>
        <w:t xml:space="preserve">Appendix B Playing Entities </w:t>
      </w:r>
    </w:p>
    <w:p w:rsidR="00000000" w:rsidDel="00000000" w:rsidP="00000000" w:rsidRDefault="00000000" w:rsidRPr="00000000" w14:paraId="000000CE">
      <w:pPr>
        <w:pageBreakBefore w:val="0"/>
        <w:rPr>
          <w:color w:val="000000"/>
        </w:rPr>
        <w:sectPr>
          <w:type w:val="continuous"/>
          <w:pgSz w:h="15840" w:w="12240" w:orient="portrait"/>
          <w:pgMar w:bottom="1440" w:top="1440" w:left="1440" w:right="1440" w:header="0" w:footer="720"/>
        </w:sect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r w:rsidDel="00000000" w:rsidR="00000000" w:rsidRPr="00000000">
        <w:rPr>
          <w:rtl w:val="0"/>
        </w:rPr>
      </w:r>
    </w:p>
    <w:p w:rsidR="00000000" w:rsidDel="00000000" w:rsidP="00000000" w:rsidRDefault="00000000" w:rsidRPr="00000000" w14:paraId="000000CF">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0">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1">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5C">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5D">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5E">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5F">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60">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61">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62">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63">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64">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65">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66">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67">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68">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69">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6A">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6B">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6C">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6D">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6E">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6F">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70">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71">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72">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73">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74">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75">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76">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77">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78">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79">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7A">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7B">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7C">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7D">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7E">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7F">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80">
      <w:pPr>
        <w:spacing w:before="0" w:lineRule="auto"/>
        <w:rPr>
          <w:color w:val="323737"/>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se.gg" TargetMode="Externa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